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9B" w:rsidRPr="00B66854" w:rsidRDefault="00633B9B" w:rsidP="00633B9B">
      <w:pPr>
        <w:ind w:firstLine="0"/>
        <w:jc w:val="center"/>
        <w:rPr>
          <w:b/>
          <w:bCs/>
          <w:sz w:val="24"/>
          <w:szCs w:val="24"/>
        </w:rPr>
      </w:pPr>
      <w:r w:rsidRPr="00B66854">
        <w:rPr>
          <w:b/>
          <w:bCs/>
          <w:sz w:val="24"/>
          <w:szCs w:val="24"/>
        </w:rPr>
        <w:t>Глава II</w:t>
      </w:r>
    </w:p>
    <w:p w:rsidR="00633B9B" w:rsidRPr="00B66854" w:rsidRDefault="00633B9B" w:rsidP="00633B9B">
      <w:pPr>
        <w:pStyle w:val="a3"/>
        <w:widowControl/>
        <w:spacing w:line="240" w:lineRule="auto"/>
        <w:ind w:left="0" w:right="0"/>
        <w:rPr>
          <w:b/>
          <w:szCs w:val="24"/>
        </w:rPr>
      </w:pPr>
      <w:r w:rsidRPr="00B66854">
        <w:rPr>
          <w:b/>
          <w:szCs w:val="24"/>
        </w:rPr>
        <w:t>ВОПРОСЫ МЕСТНОГО ЗНАЧЕНИЯ</w:t>
      </w:r>
    </w:p>
    <w:p w:rsidR="00633B9B" w:rsidRPr="00B66854" w:rsidRDefault="00633B9B" w:rsidP="00633B9B">
      <w:pPr>
        <w:pStyle w:val="a3"/>
        <w:widowControl/>
        <w:spacing w:line="240" w:lineRule="auto"/>
        <w:ind w:left="0" w:right="0" w:firstLine="709"/>
        <w:jc w:val="both"/>
        <w:rPr>
          <w:b/>
          <w:szCs w:val="24"/>
          <w:u w:val="single"/>
        </w:rPr>
      </w:pPr>
    </w:p>
    <w:p w:rsidR="00633B9B" w:rsidRPr="00B66854" w:rsidRDefault="00633B9B" w:rsidP="00633B9B">
      <w:pPr>
        <w:pStyle w:val="a3"/>
        <w:widowControl/>
        <w:spacing w:line="240" w:lineRule="auto"/>
        <w:ind w:left="0" w:right="0" w:firstLine="709"/>
        <w:jc w:val="both"/>
        <w:rPr>
          <w:szCs w:val="24"/>
        </w:rPr>
      </w:pPr>
      <w:r w:rsidRPr="00B66854">
        <w:rPr>
          <w:b/>
          <w:szCs w:val="24"/>
        </w:rPr>
        <w:t>Статья 4.</w:t>
      </w:r>
      <w:r w:rsidRPr="00B66854">
        <w:rPr>
          <w:b/>
          <w:bCs/>
          <w:szCs w:val="24"/>
        </w:rPr>
        <w:t xml:space="preserve"> Вопросы местного значения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 К вопросам местного значения Городского поселения относятся: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 формирование, утверждение, исполнение бюджета Городского поселения и контроль за исполнением данного бюджета;</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 установление, изменение и отмена местных налогов и сборов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3) владение, пользование и распоряжение имуществом, находящимся в муниципальной собственности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4) организация в границах Городского поселения электро-, тепло-, газо- и водоснабжения населения, водоотведения, снабжения населения топливом;</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5) содержание и строительство автомобильных дорог общего пользования, мостов и иных транспортных инженерных сооружений в границах населенных пунктов Городского поселения,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6) обеспечение малоимущих граждан, проживающих в Городском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8) участие в предупреждении и ликвидации последствий чрезвычайных ситуаций в границах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9) обеспечение первичных мер пожарной безопасности в границах населенных пунктов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10) создание условий для обеспечения жителей Городского поселения услугами связи, общественного питания, торговли и бытового обслуживания;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11) организация библиотечного обслуживания населения;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12) создание условий для организации досуга и обеспечения жителей Городского поселения услугами организаций культуры;</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13) охрана и сохранение объектов культурного наследия (памятников истории и культуры) местного (муниципального) значения, расположенных в границах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14) обеспечение условий для развития на территории Городского поселения массовой физической культуры и спорта;</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15) создание условий для массового отдыха жителей Городского поселения и организация обустройства мест массового отдыха населения;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16) оказание содействия в установлении в соответствии с федеральным законом опеки и попечительства над нуждающимися в этом жителями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17) формирование архивных фондов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18) организация сбора и вывоза бытовых отходов и мусора;</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19) организация благоустройства и озеленения территории Городского поселения, использования и охраны городских лесов (при их наличии), расположенных в границах населенных пунктов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 xml:space="preserve">20) утверждение генеральных планов Городского поселения, правил землепользования и застройки, утверждение подготовленной на основе генеральных планов Городского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Городского поселения, резервирование и изъятие, в том числе путем выкупа, земельных участков в границах </w:t>
      </w:r>
      <w:r w:rsidRPr="00B66854">
        <w:rPr>
          <w:rFonts w:ascii="Times New Roman" w:hAnsi="Times New Roman"/>
          <w:sz w:val="24"/>
          <w:szCs w:val="24"/>
        </w:rPr>
        <w:lastRenderedPageBreak/>
        <w:t>Городского поселения для муниципальных нужд, осуществление земельного контроля за использованием земель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21) организация освещения улиц и установки указателей с названиями улиц и номерами домов;</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22) организация ритуальных услуг и содержание мест захоронения;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23) организация и осуществление мероприятий по гражданской обороне, защите населения и территории Городского поселения от чрезвычайных ситуаций природного и техногенного характера;</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24) создание, содержание и организация деятельности аварийно-спасательных служб и (или) аварийно-спасательных формирований на территории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26) осуществление мероприятий по обеспечению безопасности людей на водных объектах, охране их жизни и здоровья;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27) создание, развитие и обеспечение охраны лечебно-оздоровительных местностей и курортов местного значения на территории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1.1. Городское поселение решает иные вопросы местного значения в соответствии с федеральными законами.</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Положения части 1 настоящей статьи применяются в части, не противоречащей федеральному закону и принимаемым в соответствии с ними законам Республики Башкортостан.</w:t>
      </w:r>
    </w:p>
    <w:p w:rsidR="00633B9B"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В случаях исключения, изменения, дополнения вопросов местного значения Городского</w:t>
      </w:r>
    </w:p>
    <w:p w:rsidR="00633B9B"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 xml:space="preserve"> </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поселения федеральными законами и принимаемыми в соответствии с ними законами Республики Башкортостан, вопросы местного значения Городского поселения в указанной части являются такими же, как и в соответствующих законах.</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 Органы местного самоуправления Городского поселения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Башкортостан,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Республики Башкортостан).</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3. Органы местного самоуправления Городского поселения могут заключить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бюджета Городского поселения в бюджет муниципального района.</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w:t>
      </w:r>
    </w:p>
    <w:p w:rsidR="00633B9B" w:rsidRPr="00B66854" w:rsidRDefault="00633B9B" w:rsidP="00633B9B">
      <w:pPr>
        <w:pStyle w:val="a3"/>
        <w:widowControl/>
        <w:spacing w:line="240" w:lineRule="auto"/>
        <w:ind w:left="0" w:right="0" w:firstLine="709"/>
        <w:jc w:val="both"/>
        <w:rPr>
          <w:b/>
          <w:bCs/>
          <w:szCs w:val="24"/>
        </w:rPr>
      </w:pPr>
      <w:r w:rsidRPr="00B66854">
        <w:rPr>
          <w:b/>
          <w:szCs w:val="24"/>
        </w:rPr>
        <w:t>Статья 5</w:t>
      </w:r>
      <w:r w:rsidRPr="00B66854">
        <w:rPr>
          <w:b/>
          <w:szCs w:val="24"/>
          <w:u w:val="single"/>
        </w:rPr>
        <w:t>.</w:t>
      </w:r>
      <w:r w:rsidRPr="00B66854">
        <w:rPr>
          <w:b/>
          <w:bCs/>
          <w:szCs w:val="24"/>
        </w:rPr>
        <w:t xml:space="preserve"> Полномочия органов местного самоуправления по решению вопросов местного значения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 В целях решения вопросов местного значения органы местного самоуправления Городского поселения обладают следующими полномочиями:</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 принятие устава Городского поселения и внесение в него изменений и дополнений, издание муниципальных правовых актов;</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2) установление официальных символов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 xml:space="preserve">3) создание муниципальных предприятий и учреждений, финансирование </w:t>
      </w:r>
      <w:r w:rsidRPr="00B66854">
        <w:rPr>
          <w:rFonts w:ascii="Times New Roman" w:hAnsi="Times New Roman"/>
          <w:sz w:val="24"/>
          <w:szCs w:val="24"/>
        </w:rPr>
        <w:lastRenderedPageBreak/>
        <w:t>муниципальных учреждений, формирование и размещение муниципального заказа;</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5)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представительного органа Городского поселения, голосования по вопросам изменения границ Городского поселения, преобразования Городского поселения;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7) принятие и организация выполнения планов и программ комплексного социально-экономического развития Городского поселения, а также организация сбора статистических показателей, характеризующих состояние экономики и социальной сферы Городского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8) учреждение печатного средства массовой информации для опубликования муниципальных правовых актов, иной официальной информации;</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9) осуществление международных и внешнеэкономических связей в соответствии с федеральными законами;</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10) иными полномочиями в соответствии с Федеральным законом и настоящим Уставом.</w:t>
      </w:r>
    </w:p>
    <w:p w:rsidR="00633B9B"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 xml:space="preserve">2. Органы местного самоуправления Городского поселения могут принять решения о </w:t>
      </w:r>
    </w:p>
    <w:p w:rsidR="00633B9B" w:rsidRDefault="00633B9B" w:rsidP="00633B9B">
      <w:pPr>
        <w:pStyle w:val="ConsNormal"/>
        <w:ind w:firstLine="540"/>
        <w:jc w:val="both"/>
        <w:rPr>
          <w:rFonts w:ascii="Times New Roman" w:hAnsi="Times New Roman"/>
          <w:sz w:val="24"/>
          <w:szCs w:val="24"/>
        </w:rPr>
      </w:pPr>
    </w:p>
    <w:p w:rsidR="00633B9B" w:rsidRDefault="00633B9B" w:rsidP="00633B9B">
      <w:pPr>
        <w:pStyle w:val="ConsNormal"/>
        <w:ind w:firstLine="540"/>
        <w:jc w:val="both"/>
        <w:rPr>
          <w:rFonts w:ascii="Times New Roman" w:hAnsi="Times New Roman"/>
          <w:sz w:val="24"/>
          <w:szCs w:val="24"/>
        </w:rPr>
      </w:pP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привлечении граждан к выполнению на добровольной основе социально значимых для Городского поселения работ (в том числе дежурств) в целях решения вопросов местного значения Городского поселения, предусмотренных Федеральным законом.</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Городского поселения работ, находится в ведении представительного органа местного самоуправления.</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К выполнению социально значимых работ могут привлекаться совершеннолетние трудоспособные жители Городского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33B9B" w:rsidRPr="00B66854" w:rsidRDefault="00633B9B" w:rsidP="00633B9B">
      <w:pPr>
        <w:pStyle w:val="ConsNormal"/>
        <w:ind w:firstLine="540"/>
        <w:jc w:val="both"/>
        <w:rPr>
          <w:rFonts w:ascii="Times New Roman" w:hAnsi="Times New Roman"/>
          <w:sz w:val="24"/>
          <w:szCs w:val="24"/>
        </w:rPr>
      </w:pPr>
      <w:r w:rsidRPr="00B66854">
        <w:rPr>
          <w:rFonts w:ascii="Times New Roman" w:hAnsi="Times New Roman"/>
          <w:sz w:val="24"/>
          <w:szCs w:val="24"/>
        </w:rPr>
        <w:t>3. Полномочия органов местного самоуправления, установленные Федеральным законом, осуществляются органами местного самоуправления Городского поселения самостоятельно. Подчиненность органа местного самоуправления или должностного лица местного самоуправления Городского поселения органу местного самоуправления или должностному лицу местного самоуправления другого Городского поселения не допускается.</w:t>
      </w:r>
    </w:p>
    <w:p w:rsidR="00633B9B" w:rsidRPr="00B66854" w:rsidRDefault="00633B9B" w:rsidP="00633B9B">
      <w:pPr>
        <w:pStyle w:val="1"/>
        <w:widowControl/>
        <w:spacing w:before="0"/>
        <w:ind w:left="0"/>
        <w:jc w:val="center"/>
        <w:rPr>
          <w:sz w:val="24"/>
          <w:szCs w:val="24"/>
        </w:rPr>
      </w:pPr>
    </w:p>
    <w:p w:rsidR="00FF77F9" w:rsidRDefault="00633B9B"/>
    <w:sectPr w:rsidR="00FF77F9" w:rsidSect="00217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633B9B"/>
    <w:rsid w:val="001707E4"/>
    <w:rsid w:val="00217A93"/>
    <w:rsid w:val="00633B9B"/>
    <w:rsid w:val="00663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B9B"/>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633B9B"/>
    <w:pPr>
      <w:keepNext/>
      <w:widowControl w:val="0"/>
      <w:spacing w:before="280"/>
      <w:ind w:left="4320" w:firstLine="0"/>
      <w:jc w:val="left"/>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3B9B"/>
    <w:rPr>
      <w:rFonts w:ascii="Times New Roman" w:eastAsia="Times New Roman" w:hAnsi="Times New Roman" w:cs="Times New Roman"/>
      <w:b/>
      <w:szCs w:val="20"/>
      <w:lang w:eastAsia="ru-RU"/>
    </w:rPr>
  </w:style>
  <w:style w:type="paragraph" w:styleId="a3">
    <w:name w:val="Block Text"/>
    <w:basedOn w:val="a"/>
    <w:rsid w:val="00633B9B"/>
    <w:pPr>
      <w:widowControl w:val="0"/>
      <w:spacing w:line="260" w:lineRule="auto"/>
      <w:ind w:left="1400" w:right="1200" w:firstLine="0"/>
      <w:jc w:val="center"/>
    </w:pPr>
    <w:rPr>
      <w:sz w:val="24"/>
    </w:rPr>
  </w:style>
  <w:style w:type="paragraph" w:customStyle="1" w:styleId="ConsNormal">
    <w:name w:val="ConsNormal"/>
    <w:rsid w:val="00633B9B"/>
    <w:pPr>
      <w:widowControl w:val="0"/>
      <w:spacing w:after="0" w:line="240" w:lineRule="auto"/>
      <w:ind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8087</Characters>
  <Application>Microsoft Office Word</Application>
  <DocSecurity>0</DocSecurity>
  <Lines>67</Lines>
  <Paragraphs>18</Paragraphs>
  <ScaleCrop>false</ScaleCrop>
  <Company>Microsoft</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Zolotce</dc:creator>
  <cp:keywords/>
  <dc:description/>
  <cp:lastModifiedBy>Zolotce</cp:lastModifiedBy>
  <cp:revision>2</cp:revision>
  <dcterms:created xsi:type="dcterms:W3CDTF">2011-11-14T09:57:00Z</dcterms:created>
  <dcterms:modified xsi:type="dcterms:W3CDTF">2011-11-14T09:58:00Z</dcterms:modified>
</cp:coreProperties>
</file>